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ayout w:type="fixed"/>
        <w:tblLook w:val="0000" w:firstRow="0" w:lastRow="0" w:firstColumn="0" w:lastColumn="0" w:noHBand="0" w:noVBand="0"/>
      </w:tblPr>
      <w:tblGrid>
        <w:gridCol w:w="9072"/>
      </w:tblGrid>
      <w:tr w:rsidR="00042ACC" w14:paraId="04A1F35B" w14:textId="77777777" w:rsidTr="00275A14">
        <w:trPr>
          <w:trHeight w:val="1119"/>
        </w:trPr>
        <w:tc>
          <w:tcPr>
            <w:tcW w:w="9072" w:type="dxa"/>
            <w:tcBorders>
              <w:top w:val="single" w:sz="4" w:space="0" w:color="auto"/>
              <w:left w:val="single" w:sz="4" w:space="0" w:color="auto"/>
              <w:bottom w:val="single" w:sz="4" w:space="0" w:color="auto"/>
              <w:right w:val="single" w:sz="4" w:space="0" w:color="auto"/>
            </w:tcBorders>
            <w:noWrap/>
            <w:vAlign w:val="center"/>
          </w:tcPr>
          <w:p w14:paraId="6EF1D9F9" w14:textId="77777777" w:rsidR="00042ACC" w:rsidRDefault="00042ACC" w:rsidP="00275A14">
            <w:pPr>
              <w:jc w:val="center"/>
              <w:rPr>
                <w:rFonts w:cs="Arial"/>
                <w:sz w:val="28"/>
                <w:szCs w:val="28"/>
              </w:rPr>
            </w:pPr>
            <w:r>
              <w:br w:type="page"/>
            </w:r>
            <w:r>
              <w:rPr>
                <w:rFonts w:cs="Arial"/>
                <w:sz w:val="28"/>
                <w:szCs w:val="28"/>
              </w:rPr>
              <w:t>Wise Digital Media (</w:t>
            </w:r>
            <w:proofErr w:type="spellStart"/>
            <w:r>
              <w:rPr>
                <w:rFonts w:cs="Arial"/>
                <w:sz w:val="28"/>
                <w:szCs w:val="28"/>
              </w:rPr>
              <w:t>Staffwise</w:t>
            </w:r>
            <w:proofErr w:type="spellEnd"/>
            <w:r>
              <w:rPr>
                <w:rFonts w:cs="Arial"/>
                <w:sz w:val="28"/>
                <w:szCs w:val="28"/>
              </w:rPr>
              <w:t>)</w:t>
            </w:r>
          </w:p>
          <w:p w14:paraId="4F44273B" w14:textId="346FAE56" w:rsidR="00042ACC" w:rsidRPr="003B6AFB" w:rsidRDefault="00042ACC" w:rsidP="00275A14">
            <w:pPr>
              <w:jc w:val="center"/>
              <w:rPr>
                <w:rFonts w:cs="Arial"/>
                <w:sz w:val="28"/>
              </w:rPr>
            </w:pPr>
            <w:r w:rsidRPr="00042ACC">
              <w:rPr>
                <w:rFonts w:cs="Arial"/>
                <w:sz w:val="28"/>
              </w:rPr>
              <w:t>Vulnerability and Patch Management Policy</w:t>
            </w:r>
          </w:p>
        </w:tc>
      </w:tr>
    </w:tbl>
    <w:p w14:paraId="7E7FF0D8" w14:textId="77777777" w:rsidR="001F67E2" w:rsidRDefault="001F67E2" w:rsidP="001F67E2">
      <w:pPr>
        <w:pStyle w:val="Style1"/>
        <w:ind w:left="709"/>
      </w:pPr>
    </w:p>
    <w:p w14:paraId="58E4EFEC" w14:textId="41F8BD38" w:rsidR="001F67E2" w:rsidRPr="00042ACC" w:rsidRDefault="001F67E2" w:rsidP="001F67E2">
      <w:pPr>
        <w:pStyle w:val="Style1"/>
        <w:numPr>
          <w:ilvl w:val="0"/>
          <w:numId w:val="1"/>
        </w:numPr>
      </w:pPr>
      <w:r w:rsidRPr="00042ACC">
        <w:t>Introduction</w:t>
      </w:r>
    </w:p>
    <w:p w14:paraId="61D51E34" w14:textId="77777777" w:rsidR="001F67E2" w:rsidRDefault="001F67E2" w:rsidP="001F67E2">
      <w:pPr>
        <w:pStyle w:val="Style1"/>
        <w:ind w:left="709"/>
        <w:rPr>
          <w:rFonts w:ascii="Segoe UI" w:hAnsi="Segoe UI" w:cs="Segoe UI"/>
          <w:b w:val="0"/>
          <w:bCs w:val="0"/>
          <w:color w:val="0D0D0D"/>
        </w:rPr>
      </w:pPr>
      <w:r w:rsidRPr="00042ACC">
        <w:rPr>
          <w:rFonts w:ascii="Segoe UI" w:hAnsi="Segoe UI" w:cs="Segoe UI"/>
          <w:b w:val="0"/>
          <w:bCs w:val="0"/>
          <w:color w:val="0D0D0D"/>
        </w:rPr>
        <w:t>The purpose of this Vulnerability and Patch Management Policy is to establish guidelines and procedures for identifying, assessing, prioritizing, and mitigating vulnerabilities within the organization's information systems. This policy aims to ensure the security and integrity of our systems, data, and assets by promptly applying patches and updates to mitigate potential security risks.</w:t>
      </w:r>
    </w:p>
    <w:p w14:paraId="47F49931" w14:textId="77777777" w:rsidR="001F67E2" w:rsidRPr="001F67E2" w:rsidRDefault="001F67E2" w:rsidP="001F67E2">
      <w:pPr>
        <w:pStyle w:val="Style1"/>
        <w:numPr>
          <w:ilvl w:val="0"/>
          <w:numId w:val="1"/>
        </w:numPr>
        <w:jc w:val="left"/>
        <w:rPr>
          <w:rFonts w:ascii="Segoe UI" w:hAnsi="Segoe UI" w:cs="Segoe UI"/>
          <w:color w:val="0D0D0D"/>
        </w:rPr>
      </w:pPr>
      <w:r w:rsidRPr="001F67E2">
        <w:rPr>
          <w:rFonts w:ascii="Segoe UI" w:hAnsi="Segoe UI" w:cs="Segoe UI"/>
          <w:color w:val="0D0D0D"/>
        </w:rPr>
        <w:t>Scope</w:t>
      </w:r>
      <w:r>
        <w:rPr>
          <w:rFonts w:ascii="Segoe UI" w:hAnsi="Segoe UI" w:cs="Segoe UI"/>
          <w:color w:val="0D0D0D"/>
        </w:rPr>
        <w:t xml:space="preserve"> and key principles</w:t>
      </w:r>
      <w:r>
        <w:rPr>
          <w:rFonts w:ascii="Segoe UI" w:hAnsi="Segoe UI" w:cs="Segoe UI"/>
          <w:color w:val="0D0D0D"/>
        </w:rPr>
        <w:br/>
      </w:r>
      <w:r w:rsidRPr="001F67E2">
        <w:rPr>
          <w:rFonts w:ascii="Segoe UI" w:hAnsi="Segoe UI" w:cs="Segoe UI"/>
          <w:b w:val="0"/>
          <w:bCs w:val="0"/>
          <w:color w:val="0D0D0D"/>
        </w:rPr>
        <w:t>This policy applies to all employees, contractors, and third-party vendors who have access to the organization's information systems. It encompasses all hardware, software, networks, and associated components that contribute to the organization's IT infrastructure.</w:t>
      </w:r>
      <w:r>
        <w:rPr>
          <w:rFonts w:ascii="Segoe UI" w:hAnsi="Segoe UI" w:cs="Segoe UI"/>
          <w:color w:val="0D0D0D"/>
        </w:rPr>
        <w:br/>
      </w:r>
    </w:p>
    <w:p w14:paraId="0DA5C0A6" w14:textId="77777777" w:rsidR="001F67E2" w:rsidRDefault="001F67E2" w:rsidP="001F67E2">
      <w:pPr>
        <w:pStyle w:val="Style1"/>
        <w:rPr>
          <w:b w:val="0"/>
          <w:bCs w:val="0"/>
        </w:rPr>
      </w:pPr>
      <w:r>
        <w:rPr>
          <w:b w:val="0"/>
          <w:bCs w:val="0"/>
        </w:rPr>
        <w:t>3.</w:t>
      </w:r>
      <w:r>
        <w:rPr>
          <w:b w:val="0"/>
          <w:bCs w:val="0"/>
        </w:rPr>
        <w:tab/>
      </w:r>
      <w:r w:rsidRPr="001F67E2">
        <w:t>Vulnerability Identification:</w:t>
      </w:r>
      <w:r w:rsidRPr="00042ACC">
        <w:rPr>
          <w:b w:val="0"/>
          <w:bCs w:val="0"/>
        </w:rPr>
        <w:t xml:space="preserve"> </w:t>
      </w:r>
    </w:p>
    <w:p w14:paraId="2ADC5D99" w14:textId="77777777" w:rsidR="001F67E2" w:rsidRDefault="001F67E2" w:rsidP="001F67E2">
      <w:pPr>
        <w:pStyle w:val="Style1"/>
        <w:ind w:left="1440" w:hanging="720"/>
        <w:rPr>
          <w:b w:val="0"/>
          <w:bCs w:val="0"/>
        </w:rPr>
      </w:pPr>
      <w:r>
        <w:rPr>
          <w:b w:val="0"/>
          <w:bCs w:val="0"/>
        </w:rPr>
        <w:t>3.1</w:t>
      </w:r>
      <w:r>
        <w:rPr>
          <w:b w:val="0"/>
          <w:bCs w:val="0"/>
        </w:rPr>
        <w:tab/>
      </w:r>
      <w:r w:rsidRPr="00042ACC">
        <w:rPr>
          <w:b w:val="0"/>
          <w:bCs w:val="0"/>
        </w:rPr>
        <w:t xml:space="preserve">The organization shall employ automated vulnerability scanning tools to regularly scan its information systems for known vulnerabilities. </w:t>
      </w:r>
    </w:p>
    <w:p w14:paraId="62FF8062" w14:textId="77777777" w:rsidR="001F67E2" w:rsidRPr="00042ACC" w:rsidRDefault="001F67E2" w:rsidP="001F67E2">
      <w:pPr>
        <w:pStyle w:val="Style1"/>
        <w:ind w:left="1440" w:hanging="720"/>
        <w:rPr>
          <w:b w:val="0"/>
          <w:bCs w:val="0"/>
        </w:rPr>
      </w:pPr>
      <w:r>
        <w:rPr>
          <w:b w:val="0"/>
          <w:bCs w:val="0"/>
        </w:rPr>
        <w:t>3.2</w:t>
      </w:r>
      <w:r>
        <w:rPr>
          <w:b w:val="0"/>
          <w:bCs w:val="0"/>
        </w:rPr>
        <w:tab/>
      </w:r>
      <w:r w:rsidRPr="00042ACC">
        <w:rPr>
          <w:b w:val="0"/>
          <w:bCs w:val="0"/>
        </w:rPr>
        <w:t>Employees are encouraged to report any suspected vulnerabilities they encounter to the IT department or designated security personnel promptly.</w:t>
      </w:r>
    </w:p>
    <w:p w14:paraId="7EED2C94" w14:textId="77777777" w:rsidR="001F67E2" w:rsidRDefault="001F67E2" w:rsidP="001F67E2">
      <w:pPr>
        <w:pStyle w:val="Style1"/>
        <w:rPr>
          <w:b w:val="0"/>
          <w:bCs w:val="0"/>
        </w:rPr>
      </w:pPr>
      <w:r>
        <w:rPr>
          <w:b w:val="0"/>
          <w:bCs w:val="0"/>
        </w:rPr>
        <w:t>4.</w:t>
      </w:r>
      <w:r>
        <w:rPr>
          <w:b w:val="0"/>
          <w:bCs w:val="0"/>
        </w:rPr>
        <w:tab/>
      </w:r>
      <w:r w:rsidRPr="001F67E2">
        <w:t xml:space="preserve">Vulnerability Assessment and Prioritization: </w:t>
      </w:r>
    </w:p>
    <w:p w14:paraId="6BD42911" w14:textId="77777777" w:rsidR="001F67E2" w:rsidRDefault="001F67E2" w:rsidP="001F67E2">
      <w:pPr>
        <w:pStyle w:val="Style1"/>
        <w:ind w:left="1440" w:hanging="720"/>
        <w:rPr>
          <w:b w:val="0"/>
          <w:bCs w:val="0"/>
        </w:rPr>
      </w:pPr>
      <w:r>
        <w:rPr>
          <w:b w:val="0"/>
          <w:bCs w:val="0"/>
        </w:rPr>
        <w:t xml:space="preserve">4.1 </w:t>
      </w:r>
      <w:r>
        <w:rPr>
          <w:b w:val="0"/>
          <w:bCs w:val="0"/>
        </w:rPr>
        <w:tab/>
      </w:r>
      <w:r w:rsidRPr="00042ACC">
        <w:rPr>
          <w:b w:val="0"/>
          <w:bCs w:val="0"/>
        </w:rPr>
        <w:t xml:space="preserve">The IT department shall assess the severity and potential impact of identified vulnerabilities based on industry-standard risk assessment methodologies. </w:t>
      </w:r>
    </w:p>
    <w:p w14:paraId="45386264" w14:textId="77777777" w:rsidR="001F67E2" w:rsidRPr="00042ACC" w:rsidRDefault="001F67E2" w:rsidP="001F67E2">
      <w:pPr>
        <w:pStyle w:val="Style1"/>
        <w:ind w:left="1440" w:hanging="720"/>
        <w:rPr>
          <w:b w:val="0"/>
          <w:bCs w:val="0"/>
        </w:rPr>
      </w:pPr>
      <w:r>
        <w:rPr>
          <w:b w:val="0"/>
          <w:bCs w:val="0"/>
        </w:rPr>
        <w:t>4.2</w:t>
      </w:r>
      <w:r>
        <w:rPr>
          <w:b w:val="0"/>
          <w:bCs w:val="0"/>
        </w:rPr>
        <w:tab/>
      </w:r>
      <w:r w:rsidRPr="00042ACC">
        <w:rPr>
          <w:b w:val="0"/>
          <w:bCs w:val="0"/>
        </w:rPr>
        <w:t>Prioritization of vulnerabilities shall be based on factors such as severity, exploitability, and potential impact on the organization's assets and operations.</w:t>
      </w:r>
    </w:p>
    <w:p w14:paraId="1F2381DA" w14:textId="77777777" w:rsidR="001F67E2" w:rsidRDefault="001F67E2" w:rsidP="001F67E2">
      <w:pPr>
        <w:pStyle w:val="Style1"/>
        <w:rPr>
          <w:b w:val="0"/>
          <w:bCs w:val="0"/>
        </w:rPr>
      </w:pPr>
      <w:r>
        <w:rPr>
          <w:b w:val="0"/>
          <w:bCs w:val="0"/>
        </w:rPr>
        <w:t xml:space="preserve">5. </w:t>
      </w:r>
      <w:r>
        <w:rPr>
          <w:b w:val="0"/>
          <w:bCs w:val="0"/>
        </w:rPr>
        <w:tab/>
      </w:r>
      <w:r w:rsidRPr="001F67E2">
        <w:t>Patch Management:</w:t>
      </w:r>
      <w:r w:rsidRPr="00042ACC">
        <w:rPr>
          <w:b w:val="0"/>
          <w:bCs w:val="0"/>
        </w:rPr>
        <w:t xml:space="preserve"> </w:t>
      </w:r>
    </w:p>
    <w:p w14:paraId="303954C6" w14:textId="78333EEA" w:rsidR="001F67E2" w:rsidRDefault="001F67E2" w:rsidP="001F67E2">
      <w:pPr>
        <w:pStyle w:val="Style1"/>
        <w:ind w:left="1440" w:hanging="720"/>
        <w:rPr>
          <w:b w:val="0"/>
          <w:bCs w:val="0"/>
        </w:rPr>
      </w:pPr>
      <w:r>
        <w:rPr>
          <w:b w:val="0"/>
          <w:bCs w:val="0"/>
        </w:rPr>
        <w:t>5.1</w:t>
      </w:r>
      <w:r>
        <w:rPr>
          <w:b w:val="0"/>
          <w:bCs w:val="0"/>
        </w:rPr>
        <w:tab/>
      </w:r>
      <w:r w:rsidRPr="00042ACC">
        <w:rPr>
          <w:b w:val="0"/>
          <w:bCs w:val="0"/>
        </w:rPr>
        <w:t xml:space="preserve">The IT department shall promptly review and evaluate security patches released by software vendors and third-party providers. </w:t>
      </w:r>
    </w:p>
    <w:p w14:paraId="2275FBD6" w14:textId="1B4C3CD4" w:rsidR="001F67E2" w:rsidRDefault="001F67E2" w:rsidP="001F67E2">
      <w:pPr>
        <w:pStyle w:val="Style1"/>
        <w:ind w:left="1440" w:hanging="720"/>
        <w:rPr>
          <w:b w:val="0"/>
          <w:bCs w:val="0"/>
        </w:rPr>
      </w:pPr>
      <w:r>
        <w:rPr>
          <w:b w:val="0"/>
          <w:bCs w:val="0"/>
        </w:rPr>
        <w:t>5.2</w:t>
      </w:r>
      <w:r>
        <w:rPr>
          <w:b w:val="0"/>
          <w:bCs w:val="0"/>
        </w:rPr>
        <w:tab/>
      </w:r>
      <w:r w:rsidRPr="00042ACC">
        <w:rPr>
          <w:b w:val="0"/>
          <w:bCs w:val="0"/>
        </w:rPr>
        <w:t>Critical and high-risk patches shall be applied to affected systems within 30 days</w:t>
      </w:r>
      <w:r>
        <w:rPr>
          <w:b w:val="0"/>
          <w:bCs w:val="0"/>
        </w:rPr>
        <w:t xml:space="preserve"> </w:t>
      </w:r>
      <w:r w:rsidRPr="00042ACC">
        <w:rPr>
          <w:b w:val="0"/>
          <w:bCs w:val="0"/>
        </w:rPr>
        <w:t xml:space="preserve">of release. </w:t>
      </w:r>
    </w:p>
    <w:p w14:paraId="234AF44C" w14:textId="6B7C9701" w:rsidR="001F67E2" w:rsidRDefault="001F67E2" w:rsidP="001F67E2">
      <w:pPr>
        <w:pStyle w:val="Style1"/>
        <w:ind w:left="1440" w:hanging="720"/>
        <w:rPr>
          <w:b w:val="0"/>
          <w:bCs w:val="0"/>
        </w:rPr>
      </w:pPr>
      <w:r>
        <w:rPr>
          <w:b w:val="0"/>
          <w:bCs w:val="0"/>
        </w:rPr>
        <w:t>5.3</w:t>
      </w:r>
      <w:r>
        <w:rPr>
          <w:b w:val="0"/>
          <w:bCs w:val="0"/>
        </w:rPr>
        <w:tab/>
      </w:r>
      <w:r w:rsidRPr="00042ACC">
        <w:rPr>
          <w:b w:val="0"/>
          <w:bCs w:val="0"/>
        </w:rPr>
        <w:t xml:space="preserve">Regular maintenance windows shall be established to minimize disruption to business operations during patch deployment. </w:t>
      </w:r>
    </w:p>
    <w:p w14:paraId="0D8AB9E4" w14:textId="4F9D99D1" w:rsidR="001F67E2" w:rsidRPr="00042ACC" w:rsidRDefault="001F67E2" w:rsidP="001F67E2">
      <w:pPr>
        <w:pStyle w:val="Style1"/>
        <w:ind w:left="1440" w:hanging="731"/>
        <w:rPr>
          <w:b w:val="0"/>
          <w:bCs w:val="0"/>
        </w:rPr>
      </w:pPr>
      <w:r>
        <w:rPr>
          <w:b w:val="0"/>
          <w:bCs w:val="0"/>
        </w:rPr>
        <w:t>5.4</w:t>
      </w:r>
      <w:r>
        <w:rPr>
          <w:b w:val="0"/>
          <w:bCs w:val="0"/>
        </w:rPr>
        <w:tab/>
      </w:r>
      <w:r w:rsidRPr="00042ACC">
        <w:rPr>
          <w:b w:val="0"/>
          <w:bCs w:val="0"/>
        </w:rPr>
        <w:t>In exceptional circumstances where immediate patch deployment is necessary to mitigate an imminent security threat, an emergency patching procedure shall be followed.</w:t>
      </w:r>
    </w:p>
    <w:p w14:paraId="11DDC94D" w14:textId="77777777" w:rsidR="00042ACC" w:rsidRDefault="00042ACC"/>
    <w:p w14:paraId="1B3B843B" w14:textId="7C5BDA79" w:rsidR="001F67E2" w:rsidRDefault="003429C0" w:rsidP="003429C0">
      <w:pPr>
        <w:pStyle w:val="Style1"/>
        <w:rPr>
          <w:b w:val="0"/>
          <w:bCs w:val="0"/>
        </w:rPr>
      </w:pPr>
      <w:r>
        <w:rPr>
          <w:b w:val="0"/>
          <w:bCs w:val="0"/>
        </w:rPr>
        <w:lastRenderedPageBreak/>
        <w:t xml:space="preserve">6. </w:t>
      </w:r>
      <w:r>
        <w:rPr>
          <w:b w:val="0"/>
          <w:bCs w:val="0"/>
        </w:rPr>
        <w:tab/>
      </w:r>
      <w:r w:rsidR="00042ACC" w:rsidRPr="003429C0">
        <w:t xml:space="preserve">Change Management: </w:t>
      </w:r>
    </w:p>
    <w:p w14:paraId="4760FCD8" w14:textId="63F8B28E" w:rsidR="001F67E2" w:rsidRDefault="003429C0" w:rsidP="003429C0">
      <w:pPr>
        <w:pStyle w:val="Style1"/>
        <w:ind w:left="1440" w:hanging="720"/>
        <w:rPr>
          <w:b w:val="0"/>
          <w:bCs w:val="0"/>
        </w:rPr>
      </w:pPr>
      <w:r>
        <w:rPr>
          <w:b w:val="0"/>
          <w:bCs w:val="0"/>
        </w:rPr>
        <w:t>6.1</w:t>
      </w:r>
      <w:r>
        <w:rPr>
          <w:b w:val="0"/>
          <w:bCs w:val="0"/>
        </w:rPr>
        <w:tab/>
      </w:r>
      <w:r w:rsidR="00042ACC" w:rsidRPr="00042ACC">
        <w:rPr>
          <w:b w:val="0"/>
          <w:bCs w:val="0"/>
        </w:rPr>
        <w:t xml:space="preserve">All patches and updates applied to information systems shall be documented as part of the organization's change management process. </w:t>
      </w:r>
    </w:p>
    <w:p w14:paraId="72962F23" w14:textId="2D8E27BB" w:rsidR="00042ACC" w:rsidRPr="00042ACC" w:rsidRDefault="003429C0" w:rsidP="003429C0">
      <w:pPr>
        <w:pStyle w:val="Style1"/>
        <w:ind w:left="1440" w:hanging="731"/>
        <w:rPr>
          <w:b w:val="0"/>
          <w:bCs w:val="0"/>
        </w:rPr>
      </w:pPr>
      <w:r>
        <w:rPr>
          <w:b w:val="0"/>
          <w:bCs w:val="0"/>
        </w:rPr>
        <w:t>6.2</w:t>
      </w:r>
      <w:r>
        <w:rPr>
          <w:b w:val="0"/>
          <w:bCs w:val="0"/>
        </w:rPr>
        <w:tab/>
      </w:r>
      <w:r w:rsidR="00042ACC" w:rsidRPr="00042ACC">
        <w:rPr>
          <w:b w:val="0"/>
          <w:bCs w:val="0"/>
        </w:rPr>
        <w:t>Changes resulting from patch deployment shall be thoroughly tested to ensure compatibility and minimize the risk of system instability or downtime.</w:t>
      </w:r>
    </w:p>
    <w:p w14:paraId="4CB7287D" w14:textId="4505EBAB" w:rsidR="001F67E2" w:rsidRDefault="003429C0" w:rsidP="003429C0">
      <w:pPr>
        <w:pStyle w:val="Style1"/>
        <w:rPr>
          <w:b w:val="0"/>
          <w:bCs w:val="0"/>
        </w:rPr>
      </w:pPr>
      <w:r>
        <w:rPr>
          <w:b w:val="0"/>
          <w:bCs w:val="0"/>
        </w:rPr>
        <w:t xml:space="preserve">7. </w:t>
      </w:r>
      <w:r>
        <w:rPr>
          <w:b w:val="0"/>
          <w:bCs w:val="0"/>
        </w:rPr>
        <w:tab/>
      </w:r>
      <w:r w:rsidR="00042ACC" w:rsidRPr="003429C0">
        <w:t>Compliance and Reporting:</w:t>
      </w:r>
      <w:r w:rsidR="00042ACC" w:rsidRPr="00042ACC">
        <w:rPr>
          <w:b w:val="0"/>
          <w:bCs w:val="0"/>
        </w:rPr>
        <w:t xml:space="preserve"> </w:t>
      </w:r>
    </w:p>
    <w:p w14:paraId="754E2C07" w14:textId="7858388B" w:rsidR="001F67E2" w:rsidRDefault="003429C0" w:rsidP="003429C0">
      <w:pPr>
        <w:pStyle w:val="Style1"/>
        <w:ind w:left="1440" w:hanging="720"/>
        <w:rPr>
          <w:b w:val="0"/>
          <w:bCs w:val="0"/>
        </w:rPr>
      </w:pPr>
      <w:r>
        <w:rPr>
          <w:b w:val="0"/>
          <w:bCs w:val="0"/>
        </w:rPr>
        <w:t>7.1</w:t>
      </w:r>
      <w:r>
        <w:rPr>
          <w:b w:val="0"/>
          <w:bCs w:val="0"/>
        </w:rPr>
        <w:tab/>
      </w:r>
      <w:r w:rsidR="00042ACC" w:rsidRPr="00042ACC">
        <w:rPr>
          <w:b w:val="0"/>
          <w:bCs w:val="0"/>
        </w:rPr>
        <w:t xml:space="preserve">Compliance with this policy shall be regularly audited to ensure adherence to established procedures and timelines. </w:t>
      </w:r>
    </w:p>
    <w:p w14:paraId="069B4017" w14:textId="0AC43F7A" w:rsidR="00042ACC" w:rsidRPr="00042ACC" w:rsidRDefault="003429C0" w:rsidP="003429C0">
      <w:pPr>
        <w:pStyle w:val="Style1"/>
        <w:ind w:left="1440" w:hanging="731"/>
        <w:rPr>
          <w:b w:val="0"/>
          <w:bCs w:val="0"/>
        </w:rPr>
      </w:pPr>
      <w:r>
        <w:rPr>
          <w:b w:val="0"/>
          <w:bCs w:val="0"/>
        </w:rPr>
        <w:t>7.2</w:t>
      </w:r>
      <w:r>
        <w:rPr>
          <w:b w:val="0"/>
          <w:bCs w:val="0"/>
        </w:rPr>
        <w:tab/>
      </w:r>
      <w:r w:rsidR="00042ACC" w:rsidRPr="00042ACC">
        <w:rPr>
          <w:b w:val="0"/>
          <w:bCs w:val="0"/>
        </w:rPr>
        <w:t>Security reports detailing vulnerability assessments, patch deployment status, and any outstanding vulnerabilities shall be provided to senior management on a regular basis.</w:t>
      </w:r>
    </w:p>
    <w:p w14:paraId="2663B241" w14:textId="70BF5E43" w:rsidR="001F67E2" w:rsidRDefault="003429C0" w:rsidP="003429C0">
      <w:pPr>
        <w:pStyle w:val="Style1"/>
        <w:rPr>
          <w:b w:val="0"/>
          <w:bCs w:val="0"/>
        </w:rPr>
      </w:pPr>
      <w:r>
        <w:rPr>
          <w:b w:val="0"/>
          <w:bCs w:val="0"/>
        </w:rPr>
        <w:t xml:space="preserve">8. </w:t>
      </w:r>
      <w:r>
        <w:rPr>
          <w:b w:val="0"/>
          <w:bCs w:val="0"/>
        </w:rPr>
        <w:tab/>
      </w:r>
      <w:r w:rsidR="00042ACC" w:rsidRPr="003429C0">
        <w:t>Responsibilities</w:t>
      </w:r>
    </w:p>
    <w:p w14:paraId="551842BB" w14:textId="75CE2C8A" w:rsidR="001F67E2" w:rsidRDefault="003429C0" w:rsidP="003429C0">
      <w:pPr>
        <w:pStyle w:val="Style1"/>
        <w:ind w:left="1440" w:hanging="720"/>
        <w:rPr>
          <w:b w:val="0"/>
          <w:bCs w:val="0"/>
        </w:rPr>
      </w:pPr>
      <w:r>
        <w:rPr>
          <w:b w:val="0"/>
          <w:bCs w:val="0"/>
        </w:rPr>
        <w:t>8.1</w:t>
      </w:r>
      <w:r>
        <w:rPr>
          <w:b w:val="0"/>
          <w:bCs w:val="0"/>
        </w:rPr>
        <w:tab/>
      </w:r>
      <w:r w:rsidR="00042ACC" w:rsidRPr="00042ACC">
        <w:rPr>
          <w:b w:val="0"/>
          <w:bCs w:val="0"/>
        </w:rPr>
        <w:t xml:space="preserve">IT Department: Responsible for conducting vulnerability assessments, prioritizing patches, and deploying updates according to the defined timelines. </w:t>
      </w:r>
    </w:p>
    <w:p w14:paraId="3D1C4B06" w14:textId="7D953868" w:rsidR="00042ACC" w:rsidRDefault="003429C0" w:rsidP="003429C0">
      <w:pPr>
        <w:pStyle w:val="Style1"/>
        <w:ind w:left="1440" w:hanging="720"/>
        <w:rPr>
          <w:b w:val="0"/>
          <w:bCs w:val="0"/>
        </w:rPr>
      </w:pPr>
      <w:r>
        <w:rPr>
          <w:b w:val="0"/>
          <w:bCs w:val="0"/>
        </w:rPr>
        <w:t>8.2</w:t>
      </w:r>
      <w:r>
        <w:rPr>
          <w:b w:val="0"/>
          <w:bCs w:val="0"/>
        </w:rPr>
        <w:tab/>
      </w:r>
      <w:r w:rsidR="00042ACC" w:rsidRPr="00042ACC">
        <w:rPr>
          <w:b w:val="0"/>
          <w:bCs w:val="0"/>
        </w:rPr>
        <w:t>Employees: Required to report suspected vulnerabilities promptly and adhere to security procedures related to patch deployment and system maintenance.</w:t>
      </w:r>
    </w:p>
    <w:p w14:paraId="76FF8A3A" w14:textId="77777777" w:rsidR="001F67E2" w:rsidRDefault="001F67E2" w:rsidP="001F67E2">
      <w:pPr>
        <w:pStyle w:val="Style2a"/>
      </w:pPr>
    </w:p>
    <w:p w14:paraId="382E5151" w14:textId="77777777" w:rsidR="001F67E2" w:rsidRDefault="001F67E2" w:rsidP="001F67E2">
      <w:pPr>
        <w:pStyle w:val="Style2a"/>
      </w:pPr>
    </w:p>
    <w:p w14:paraId="0DBBDF82" w14:textId="4466D60C" w:rsidR="001F67E2" w:rsidRPr="00C877FD" w:rsidRDefault="001F67E2" w:rsidP="001F67E2">
      <w:pPr>
        <w:pStyle w:val="Style2a"/>
      </w:pPr>
      <w:r w:rsidRPr="00C877FD">
        <w:t>This Policy has been approved and authorised by:</w:t>
      </w:r>
    </w:p>
    <w:tbl>
      <w:tblPr>
        <w:tblW w:w="0" w:type="auto"/>
        <w:tblLook w:val="01E0" w:firstRow="1" w:lastRow="1" w:firstColumn="1" w:lastColumn="1" w:noHBand="0" w:noVBand="0"/>
      </w:tblPr>
      <w:tblGrid>
        <w:gridCol w:w="2471"/>
        <w:gridCol w:w="6555"/>
      </w:tblGrid>
      <w:tr w:rsidR="001F67E2" w:rsidRPr="00C877FD" w14:paraId="0728FE5A" w14:textId="77777777" w:rsidTr="00275A14">
        <w:tc>
          <w:tcPr>
            <w:tcW w:w="2518" w:type="dxa"/>
          </w:tcPr>
          <w:p w14:paraId="7B7A2CE7" w14:textId="77777777" w:rsidR="001F67E2" w:rsidRPr="00C877FD" w:rsidRDefault="001F67E2" w:rsidP="00275A14">
            <w:pPr>
              <w:pStyle w:val="Heading2NotBold"/>
              <w:tabs>
                <w:tab w:val="clear" w:pos="709"/>
              </w:tabs>
              <w:spacing w:before="0"/>
              <w:ind w:left="0" w:firstLine="0"/>
              <w:rPr>
                <w:b/>
                <w:szCs w:val="22"/>
              </w:rPr>
            </w:pPr>
            <w:r w:rsidRPr="00C877FD">
              <w:rPr>
                <w:b/>
                <w:szCs w:val="22"/>
              </w:rPr>
              <w:t>Name:</w:t>
            </w:r>
          </w:p>
        </w:tc>
        <w:tc>
          <w:tcPr>
            <w:tcW w:w="6769" w:type="dxa"/>
          </w:tcPr>
          <w:p w14:paraId="1919A058" w14:textId="77777777" w:rsidR="001F67E2" w:rsidRPr="00C877FD" w:rsidRDefault="001F67E2" w:rsidP="00275A14">
            <w:pPr>
              <w:pStyle w:val="Heading2NotBold"/>
              <w:tabs>
                <w:tab w:val="clear" w:pos="709"/>
              </w:tabs>
              <w:spacing w:before="0"/>
              <w:ind w:left="0" w:firstLine="0"/>
              <w:rPr>
                <w:szCs w:val="22"/>
              </w:rPr>
            </w:pPr>
            <w:r>
              <w:rPr>
                <w:szCs w:val="22"/>
              </w:rPr>
              <w:t>Gemma Lennard</w:t>
            </w:r>
          </w:p>
        </w:tc>
      </w:tr>
      <w:tr w:rsidR="001F67E2" w:rsidRPr="00C877FD" w14:paraId="535C0F0A" w14:textId="77777777" w:rsidTr="00275A14">
        <w:tc>
          <w:tcPr>
            <w:tcW w:w="2518" w:type="dxa"/>
          </w:tcPr>
          <w:p w14:paraId="4AB286E1" w14:textId="77777777" w:rsidR="001F67E2" w:rsidRPr="00C877FD" w:rsidRDefault="001F67E2" w:rsidP="00275A14">
            <w:pPr>
              <w:pStyle w:val="Heading2NotBold"/>
              <w:tabs>
                <w:tab w:val="clear" w:pos="709"/>
              </w:tabs>
              <w:spacing w:before="0"/>
              <w:ind w:left="0" w:firstLine="0"/>
              <w:rPr>
                <w:b/>
                <w:szCs w:val="22"/>
              </w:rPr>
            </w:pPr>
            <w:r w:rsidRPr="00C877FD">
              <w:rPr>
                <w:b/>
                <w:szCs w:val="22"/>
              </w:rPr>
              <w:t>Position:</w:t>
            </w:r>
          </w:p>
        </w:tc>
        <w:tc>
          <w:tcPr>
            <w:tcW w:w="6769" w:type="dxa"/>
          </w:tcPr>
          <w:p w14:paraId="3DED4AD1" w14:textId="77777777" w:rsidR="001F67E2" w:rsidRPr="00C877FD" w:rsidRDefault="001F67E2" w:rsidP="00275A14">
            <w:pPr>
              <w:pStyle w:val="Heading2NotBold"/>
              <w:tabs>
                <w:tab w:val="clear" w:pos="709"/>
              </w:tabs>
              <w:spacing w:before="0"/>
              <w:ind w:left="0" w:firstLine="0"/>
              <w:rPr>
                <w:szCs w:val="22"/>
              </w:rPr>
            </w:pPr>
            <w:r>
              <w:rPr>
                <w:szCs w:val="22"/>
              </w:rPr>
              <w:t>Data Protection Officer</w:t>
            </w:r>
          </w:p>
        </w:tc>
      </w:tr>
      <w:tr w:rsidR="001F67E2" w:rsidRPr="00C877FD" w14:paraId="2257F3E1" w14:textId="77777777" w:rsidTr="00275A14">
        <w:tc>
          <w:tcPr>
            <w:tcW w:w="2518" w:type="dxa"/>
          </w:tcPr>
          <w:p w14:paraId="0DB9C7AE" w14:textId="77777777" w:rsidR="001F67E2" w:rsidRPr="00C877FD" w:rsidRDefault="001F67E2" w:rsidP="00275A14">
            <w:pPr>
              <w:pStyle w:val="Heading2NotBold"/>
              <w:tabs>
                <w:tab w:val="clear" w:pos="709"/>
              </w:tabs>
              <w:spacing w:before="0"/>
              <w:ind w:left="0" w:firstLine="0"/>
              <w:rPr>
                <w:b/>
                <w:szCs w:val="22"/>
              </w:rPr>
            </w:pPr>
            <w:r w:rsidRPr="00C877FD">
              <w:rPr>
                <w:b/>
                <w:szCs w:val="22"/>
              </w:rPr>
              <w:t>Date:</w:t>
            </w:r>
          </w:p>
        </w:tc>
        <w:tc>
          <w:tcPr>
            <w:tcW w:w="6769" w:type="dxa"/>
          </w:tcPr>
          <w:p w14:paraId="2B2E17E8" w14:textId="77777777" w:rsidR="001F67E2" w:rsidRPr="00C877FD" w:rsidRDefault="001F67E2" w:rsidP="00275A14">
            <w:pPr>
              <w:pStyle w:val="Heading2NotBold"/>
              <w:tabs>
                <w:tab w:val="clear" w:pos="709"/>
              </w:tabs>
              <w:spacing w:before="0"/>
              <w:ind w:left="0" w:firstLine="0"/>
              <w:rPr>
                <w:szCs w:val="22"/>
              </w:rPr>
            </w:pPr>
            <w:r>
              <w:rPr>
                <w:szCs w:val="22"/>
              </w:rPr>
              <w:t>08</w:t>
            </w:r>
            <w:r w:rsidRPr="008F4397">
              <w:rPr>
                <w:szCs w:val="22"/>
                <w:vertAlign w:val="superscript"/>
              </w:rPr>
              <w:t>th</w:t>
            </w:r>
            <w:r>
              <w:rPr>
                <w:szCs w:val="22"/>
              </w:rPr>
              <w:t xml:space="preserve"> January 2024</w:t>
            </w:r>
          </w:p>
        </w:tc>
      </w:tr>
      <w:tr w:rsidR="001F67E2" w:rsidRPr="00C877FD" w14:paraId="1E346304" w14:textId="77777777" w:rsidTr="00275A14">
        <w:tc>
          <w:tcPr>
            <w:tcW w:w="2518" w:type="dxa"/>
          </w:tcPr>
          <w:p w14:paraId="2333B4FD" w14:textId="77777777" w:rsidR="001F67E2" w:rsidRPr="00C877FD" w:rsidRDefault="001F67E2" w:rsidP="00275A14">
            <w:pPr>
              <w:pStyle w:val="Heading2NotBold"/>
              <w:tabs>
                <w:tab w:val="clear" w:pos="709"/>
              </w:tabs>
              <w:spacing w:before="0"/>
              <w:ind w:left="0" w:firstLine="0"/>
              <w:rPr>
                <w:b/>
                <w:szCs w:val="22"/>
              </w:rPr>
            </w:pPr>
            <w:r w:rsidRPr="00C877FD">
              <w:rPr>
                <w:b/>
                <w:szCs w:val="22"/>
              </w:rPr>
              <w:t>Due for Review by:</w:t>
            </w:r>
          </w:p>
        </w:tc>
        <w:tc>
          <w:tcPr>
            <w:tcW w:w="6769" w:type="dxa"/>
          </w:tcPr>
          <w:p w14:paraId="11B314DF" w14:textId="77777777" w:rsidR="001F67E2" w:rsidRPr="00C877FD" w:rsidRDefault="001F67E2" w:rsidP="00275A14">
            <w:pPr>
              <w:pStyle w:val="Heading2NotBold"/>
              <w:tabs>
                <w:tab w:val="clear" w:pos="709"/>
              </w:tabs>
              <w:spacing w:before="0"/>
              <w:ind w:left="0" w:firstLine="0"/>
              <w:rPr>
                <w:szCs w:val="22"/>
              </w:rPr>
            </w:pPr>
            <w:r>
              <w:rPr>
                <w:szCs w:val="22"/>
              </w:rPr>
              <w:t>08</w:t>
            </w:r>
            <w:r w:rsidRPr="008F4397">
              <w:rPr>
                <w:szCs w:val="22"/>
                <w:vertAlign w:val="superscript"/>
              </w:rPr>
              <w:t>th</w:t>
            </w:r>
            <w:r>
              <w:rPr>
                <w:szCs w:val="22"/>
              </w:rPr>
              <w:t xml:space="preserve"> January 2025</w:t>
            </w:r>
          </w:p>
        </w:tc>
      </w:tr>
      <w:tr w:rsidR="001F67E2" w:rsidRPr="00C877FD" w14:paraId="7A420175" w14:textId="77777777" w:rsidTr="00275A14">
        <w:trPr>
          <w:trHeight w:val="284"/>
        </w:trPr>
        <w:tc>
          <w:tcPr>
            <w:tcW w:w="2518" w:type="dxa"/>
          </w:tcPr>
          <w:p w14:paraId="5AC7462D" w14:textId="77777777" w:rsidR="001F67E2" w:rsidRPr="00C877FD" w:rsidRDefault="001F67E2" w:rsidP="00275A14">
            <w:pPr>
              <w:pStyle w:val="Heading2NotBold"/>
              <w:tabs>
                <w:tab w:val="clear" w:pos="709"/>
              </w:tabs>
              <w:spacing w:before="0"/>
              <w:ind w:left="0" w:firstLine="0"/>
              <w:rPr>
                <w:b/>
                <w:szCs w:val="22"/>
              </w:rPr>
            </w:pPr>
            <w:r w:rsidRPr="00C877FD">
              <w:rPr>
                <w:b/>
                <w:szCs w:val="22"/>
              </w:rPr>
              <w:t>Signature:</w:t>
            </w:r>
          </w:p>
        </w:tc>
        <w:tc>
          <w:tcPr>
            <w:tcW w:w="6769" w:type="dxa"/>
          </w:tcPr>
          <w:p w14:paraId="29DC0F41" w14:textId="77777777" w:rsidR="001F67E2" w:rsidRPr="00C877FD" w:rsidRDefault="001F67E2" w:rsidP="00275A14">
            <w:pPr>
              <w:pStyle w:val="Heading2NotBold"/>
              <w:tabs>
                <w:tab w:val="clear" w:pos="709"/>
              </w:tabs>
              <w:spacing w:before="0"/>
              <w:ind w:left="0" w:firstLine="0"/>
              <w:rPr>
                <w:szCs w:val="22"/>
              </w:rPr>
            </w:pPr>
            <w:r>
              <w:rPr>
                <w:szCs w:val="22"/>
              </w:rPr>
              <w:t>GL</w:t>
            </w:r>
          </w:p>
        </w:tc>
      </w:tr>
    </w:tbl>
    <w:p w14:paraId="7D0396C4" w14:textId="77777777" w:rsidR="001F67E2" w:rsidRPr="00042ACC" w:rsidRDefault="001F67E2" w:rsidP="00042ACC">
      <w:pPr>
        <w:pStyle w:val="Style1"/>
        <w:ind w:left="709" w:firstLine="11"/>
        <w:rPr>
          <w:b w:val="0"/>
          <w:bCs w:val="0"/>
        </w:rPr>
      </w:pPr>
    </w:p>
    <w:sectPr w:rsidR="001F67E2" w:rsidRPr="00042AC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8351" w14:textId="77777777" w:rsidR="00277EA0" w:rsidRDefault="00277EA0" w:rsidP="001F67E2">
      <w:r>
        <w:separator/>
      </w:r>
    </w:p>
  </w:endnote>
  <w:endnote w:type="continuationSeparator" w:id="0">
    <w:p w14:paraId="3DA0C44E" w14:textId="77777777" w:rsidR="00277EA0" w:rsidRDefault="00277EA0" w:rsidP="001F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3E71" w14:textId="4416453B" w:rsidR="001F67E2" w:rsidRDefault="001F67E2">
    <w:pPr>
      <w:pStyle w:val="Footer"/>
    </w:pPr>
    <w:r>
      <w:rPr>
        <w:rFonts w:cs="Arial"/>
        <w:sz w:val="16"/>
      </w:rPr>
      <w:t>Wise Digital Media (</w:t>
    </w:r>
    <w:proofErr w:type="spellStart"/>
    <w:r>
      <w:rPr>
        <w:rFonts w:cs="Arial"/>
        <w:sz w:val="16"/>
      </w:rPr>
      <w:t>Staffwise</w:t>
    </w:r>
    <w:proofErr w:type="spellEnd"/>
    <w:r>
      <w:rPr>
        <w:rFonts w:cs="Arial"/>
        <w:sz w:val="16"/>
      </w:rPr>
      <w:t xml:space="preserve">) - </w:t>
    </w:r>
    <w:r w:rsidRPr="001F67E2">
      <w:rPr>
        <w:rFonts w:cs="Arial"/>
        <w:sz w:val="16"/>
      </w:rPr>
      <w:t>Vulnerability and Patch Management Policy</w:t>
    </w:r>
    <w:r>
      <w:rPr>
        <w:rFonts w:cs="Arial"/>
        <w:sz w:val="16"/>
      </w:rPr>
      <w:t xml:space="preserve"> – 08.01.2024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3B13" w14:textId="77777777" w:rsidR="00277EA0" w:rsidRDefault="00277EA0" w:rsidP="001F67E2">
      <w:r>
        <w:separator/>
      </w:r>
    </w:p>
  </w:footnote>
  <w:footnote w:type="continuationSeparator" w:id="0">
    <w:p w14:paraId="733FA6FD" w14:textId="77777777" w:rsidR="00277EA0" w:rsidRDefault="00277EA0" w:rsidP="001F6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83A11"/>
    <w:multiLevelType w:val="multilevel"/>
    <w:tmpl w:val="8CBA5FFE"/>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16cid:durableId="181275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CC"/>
    <w:rsid w:val="00042ACC"/>
    <w:rsid w:val="001F67E2"/>
    <w:rsid w:val="00277EA0"/>
    <w:rsid w:val="00342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EA8F"/>
  <w15:chartTrackingRefBased/>
  <w15:docId w15:val="{952B2CF0-A10A-4C48-9C0E-99F1A088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ACC"/>
    <w:pPr>
      <w:widowControl w:val="0"/>
      <w:overflowPunct w:val="0"/>
      <w:autoSpaceDE w:val="0"/>
      <w:autoSpaceDN w:val="0"/>
      <w:adjustRightInd w:val="0"/>
      <w:spacing w:after="0" w:line="240" w:lineRule="auto"/>
      <w:textAlignment w:val="baseline"/>
    </w:pPr>
    <w:rPr>
      <w:rFonts w:ascii="Arial" w:eastAsia="Times New Roman" w:hAnsi="Arial" w:cs="Times New Roman"/>
      <w:kern w:val="0"/>
      <w:sz w:val="22"/>
      <w:szCs w:val="20"/>
      <w14:ligatures w14:val="none"/>
    </w:rPr>
  </w:style>
  <w:style w:type="paragraph" w:styleId="Heading1">
    <w:name w:val="heading 1"/>
    <w:basedOn w:val="Normal"/>
    <w:next w:val="Normal"/>
    <w:link w:val="Heading1Char"/>
    <w:uiPriority w:val="9"/>
    <w:qFormat/>
    <w:rsid w:val="00042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A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A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A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A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A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ACC"/>
    <w:rPr>
      <w:rFonts w:eastAsiaTheme="majorEastAsia" w:cstheme="majorBidi"/>
      <w:color w:val="272727" w:themeColor="text1" w:themeTint="D8"/>
    </w:rPr>
  </w:style>
  <w:style w:type="paragraph" w:styleId="Title">
    <w:name w:val="Title"/>
    <w:basedOn w:val="Normal"/>
    <w:next w:val="Normal"/>
    <w:link w:val="TitleChar"/>
    <w:uiPriority w:val="10"/>
    <w:qFormat/>
    <w:rsid w:val="00042A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ACC"/>
    <w:pPr>
      <w:spacing w:before="160"/>
      <w:jc w:val="center"/>
    </w:pPr>
    <w:rPr>
      <w:i/>
      <w:iCs/>
      <w:color w:val="404040" w:themeColor="text1" w:themeTint="BF"/>
    </w:rPr>
  </w:style>
  <w:style w:type="character" w:customStyle="1" w:styleId="QuoteChar">
    <w:name w:val="Quote Char"/>
    <w:basedOn w:val="DefaultParagraphFont"/>
    <w:link w:val="Quote"/>
    <w:uiPriority w:val="29"/>
    <w:rsid w:val="00042ACC"/>
    <w:rPr>
      <w:i/>
      <w:iCs/>
      <w:color w:val="404040" w:themeColor="text1" w:themeTint="BF"/>
    </w:rPr>
  </w:style>
  <w:style w:type="paragraph" w:styleId="ListParagraph">
    <w:name w:val="List Paragraph"/>
    <w:basedOn w:val="Normal"/>
    <w:uiPriority w:val="34"/>
    <w:qFormat/>
    <w:rsid w:val="00042ACC"/>
    <w:pPr>
      <w:ind w:left="720"/>
      <w:contextualSpacing/>
    </w:pPr>
  </w:style>
  <w:style w:type="character" w:styleId="IntenseEmphasis">
    <w:name w:val="Intense Emphasis"/>
    <w:basedOn w:val="DefaultParagraphFont"/>
    <w:uiPriority w:val="21"/>
    <w:qFormat/>
    <w:rsid w:val="00042ACC"/>
    <w:rPr>
      <w:i/>
      <w:iCs/>
      <w:color w:val="0F4761" w:themeColor="accent1" w:themeShade="BF"/>
    </w:rPr>
  </w:style>
  <w:style w:type="paragraph" w:styleId="IntenseQuote">
    <w:name w:val="Intense Quote"/>
    <w:basedOn w:val="Normal"/>
    <w:next w:val="Normal"/>
    <w:link w:val="IntenseQuoteChar"/>
    <w:uiPriority w:val="30"/>
    <w:qFormat/>
    <w:rsid w:val="00042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ACC"/>
    <w:rPr>
      <w:i/>
      <w:iCs/>
      <w:color w:val="0F4761" w:themeColor="accent1" w:themeShade="BF"/>
    </w:rPr>
  </w:style>
  <w:style w:type="character" w:styleId="IntenseReference">
    <w:name w:val="Intense Reference"/>
    <w:basedOn w:val="DefaultParagraphFont"/>
    <w:uiPriority w:val="32"/>
    <w:qFormat/>
    <w:rsid w:val="00042ACC"/>
    <w:rPr>
      <w:b/>
      <w:bCs/>
      <w:smallCaps/>
      <w:color w:val="0F4761" w:themeColor="accent1" w:themeShade="BF"/>
      <w:spacing w:val="5"/>
    </w:rPr>
  </w:style>
  <w:style w:type="paragraph" w:customStyle="1" w:styleId="Style1">
    <w:name w:val="Style1"/>
    <w:basedOn w:val="Title"/>
    <w:qFormat/>
    <w:rsid w:val="00042ACC"/>
    <w:pPr>
      <w:keepNext/>
      <w:keepLines/>
      <w:widowControl/>
      <w:spacing w:before="120" w:after="120"/>
      <w:contextualSpacing w:val="0"/>
      <w:jc w:val="both"/>
    </w:pPr>
    <w:rPr>
      <w:rFonts w:ascii="Arial" w:eastAsia="Times New Roman" w:hAnsi="Arial" w:cs="Times New Roman"/>
      <w:b/>
      <w:bCs/>
      <w:spacing w:val="0"/>
      <w:kern w:val="0"/>
      <w:sz w:val="22"/>
      <w:szCs w:val="20"/>
    </w:rPr>
  </w:style>
  <w:style w:type="paragraph" w:customStyle="1" w:styleId="Style2">
    <w:name w:val="Style2"/>
    <w:basedOn w:val="Normal"/>
    <w:qFormat/>
    <w:rsid w:val="00042ACC"/>
    <w:pPr>
      <w:spacing w:after="120"/>
    </w:pPr>
  </w:style>
  <w:style w:type="paragraph" w:customStyle="1" w:styleId="Style3a">
    <w:name w:val="Style3a"/>
    <w:basedOn w:val="Style311"/>
    <w:qFormat/>
    <w:rsid w:val="00042ACC"/>
  </w:style>
  <w:style w:type="paragraph" w:customStyle="1" w:styleId="Style311">
    <w:name w:val="Style3.1.1"/>
    <w:basedOn w:val="Normal"/>
    <w:qFormat/>
    <w:rsid w:val="00042ACC"/>
    <w:pPr>
      <w:widowControl/>
      <w:spacing w:after="120"/>
    </w:pPr>
    <w:rPr>
      <w:rFonts w:cs="Arial"/>
      <w:bCs/>
    </w:rPr>
  </w:style>
  <w:style w:type="paragraph" w:customStyle="1" w:styleId="Style4">
    <w:name w:val="Style4"/>
    <w:basedOn w:val="Normal"/>
    <w:qFormat/>
    <w:rsid w:val="00042ACC"/>
    <w:pPr>
      <w:spacing w:after="120"/>
    </w:pPr>
  </w:style>
  <w:style w:type="paragraph" w:customStyle="1" w:styleId="Style2a">
    <w:name w:val="Style2a"/>
    <w:basedOn w:val="Normal"/>
    <w:qFormat/>
    <w:rsid w:val="00042ACC"/>
    <w:pPr>
      <w:spacing w:after="120"/>
    </w:pPr>
  </w:style>
  <w:style w:type="paragraph" w:customStyle="1" w:styleId="Style4a">
    <w:name w:val="Style4a"/>
    <w:basedOn w:val="Style3a"/>
    <w:qFormat/>
    <w:rsid w:val="00042ACC"/>
  </w:style>
  <w:style w:type="paragraph" w:styleId="Header">
    <w:name w:val="header"/>
    <w:basedOn w:val="Normal"/>
    <w:link w:val="HeaderChar"/>
    <w:uiPriority w:val="99"/>
    <w:unhideWhenUsed/>
    <w:rsid w:val="001F67E2"/>
    <w:pPr>
      <w:tabs>
        <w:tab w:val="center" w:pos="4513"/>
        <w:tab w:val="right" w:pos="9026"/>
      </w:tabs>
    </w:pPr>
  </w:style>
  <w:style w:type="character" w:customStyle="1" w:styleId="HeaderChar">
    <w:name w:val="Header Char"/>
    <w:basedOn w:val="DefaultParagraphFont"/>
    <w:link w:val="Header"/>
    <w:uiPriority w:val="99"/>
    <w:rsid w:val="001F67E2"/>
    <w:rPr>
      <w:rFonts w:ascii="Arial" w:eastAsia="Times New Roman" w:hAnsi="Arial" w:cs="Times New Roman"/>
      <w:kern w:val="0"/>
      <w:sz w:val="22"/>
      <w:szCs w:val="20"/>
      <w14:ligatures w14:val="none"/>
    </w:rPr>
  </w:style>
  <w:style w:type="paragraph" w:styleId="Footer">
    <w:name w:val="footer"/>
    <w:basedOn w:val="Normal"/>
    <w:link w:val="FooterChar"/>
    <w:uiPriority w:val="99"/>
    <w:unhideWhenUsed/>
    <w:rsid w:val="001F67E2"/>
    <w:pPr>
      <w:tabs>
        <w:tab w:val="center" w:pos="4513"/>
        <w:tab w:val="right" w:pos="9026"/>
      </w:tabs>
    </w:pPr>
  </w:style>
  <w:style w:type="character" w:customStyle="1" w:styleId="FooterChar">
    <w:name w:val="Footer Char"/>
    <w:basedOn w:val="DefaultParagraphFont"/>
    <w:link w:val="Footer"/>
    <w:uiPriority w:val="99"/>
    <w:rsid w:val="001F67E2"/>
    <w:rPr>
      <w:rFonts w:ascii="Arial" w:eastAsia="Times New Roman" w:hAnsi="Arial" w:cs="Times New Roman"/>
      <w:kern w:val="0"/>
      <w:sz w:val="22"/>
      <w:szCs w:val="20"/>
      <w14:ligatures w14:val="none"/>
    </w:rPr>
  </w:style>
  <w:style w:type="paragraph" w:customStyle="1" w:styleId="Heading2NotBold">
    <w:name w:val="Heading 2 NotBold"/>
    <w:basedOn w:val="Heading2"/>
    <w:rsid w:val="001F67E2"/>
    <w:pPr>
      <w:keepNext w:val="0"/>
      <w:keepLines w:val="0"/>
      <w:tabs>
        <w:tab w:val="num" w:pos="709"/>
      </w:tabs>
      <w:overflowPunct/>
      <w:autoSpaceDE/>
      <w:autoSpaceDN/>
      <w:adjustRightInd/>
      <w:spacing w:before="180" w:after="0" w:line="288" w:lineRule="auto"/>
      <w:ind w:left="709" w:hanging="709"/>
      <w:jc w:val="both"/>
      <w:textAlignment w:val="auto"/>
    </w:pPr>
    <w:rPr>
      <w:rFonts w:ascii="Arial" w:eastAsia="Times New Roman" w:hAnsi="Arial" w:cs="Arial"/>
      <w:bCs/>
      <w:snapToGrid w:val="0"/>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388">
      <w:bodyDiv w:val="1"/>
      <w:marLeft w:val="0"/>
      <w:marRight w:val="0"/>
      <w:marTop w:val="0"/>
      <w:marBottom w:val="0"/>
      <w:divBdr>
        <w:top w:val="none" w:sz="0" w:space="0" w:color="auto"/>
        <w:left w:val="none" w:sz="0" w:space="0" w:color="auto"/>
        <w:bottom w:val="none" w:sz="0" w:space="0" w:color="auto"/>
        <w:right w:val="none" w:sz="0" w:space="0" w:color="auto"/>
      </w:divBdr>
    </w:div>
    <w:div w:id="172926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Flannery</dc:creator>
  <cp:keywords/>
  <dc:description/>
  <cp:lastModifiedBy>Gemma Flannery</cp:lastModifiedBy>
  <cp:revision>2</cp:revision>
  <dcterms:created xsi:type="dcterms:W3CDTF">2024-04-05T10:34:00Z</dcterms:created>
  <dcterms:modified xsi:type="dcterms:W3CDTF">2024-04-05T10:56:00Z</dcterms:modified>
</cp:coreProperties>
</file>